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7"/>
        <w:gridCol w:w="4723"/>
      </w:tblGrid>
      <w:tr w:rsidR="005619F0" w:rsidRPr="005619F0" w:rsidTr="005619F0">
        <w:trPr>
          <w:gridAfter w:val="1"/>
          <w:wAfter w:w="6698" w:type="dxa"/>
        </w:trPr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Olağan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Tarihi ve Saati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26.03.2014 </w:t>
            </w:r>
            <w:proofErr w:type="gramStart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11:00</w:t>
            </w:r>
            <w:proofErr w:type="gramEnd"/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Hesap Dönemi Başlangıç Tarihi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01.01.2013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Hesap Dönemi Bitiş Tarihi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31.12.2013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Genel Kurul Yapıldı mı?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Evet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Alınan Kararlar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Şirketimiz 2013 yılına ilişkin Olağan Genel Kurul Toplantısı 26 Mart 2014 tarihinde saat </w:t>
            </w:r>
            <w:proofErr w:type="gramStart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11:00'da</w:t>
            </w:r>
            <w:proofErr w:type="gramEnd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 yapılmış olup, alınan kararlara aşağıda yer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1- Toplantı Başkanlığı seçimi yapılarak Toplantı Başkanlığı'na Olağan Genel Kurul Tutanağı'nı imzalamak üzere yetki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lang w:eastAsia="tr-TR"/>
              </w:rPr>
              <w:t> 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2- Şirketin 2013 yılı hesap faaliyetine ilişkin Yönetim Kurulu Yıllık Faaliyet Raporu, Kurumsal Yönetim İlkelerine Uyum Beyanı ile Bağımsız Denetim Raporu kabul edilmiştir.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3- 2013 yılı Bilanço ve Gelir Tablosu onaylanmıştır.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lang w:eastAsia="tr-TR"/>
              </w:rPr>
              <w:t> 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4- Yönetim Kurulu Üyeleri, 2013 yılı muamele, fiil ve işlerinden ötürü ibra edilmiştir.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5- Şirketin 2013 yılı faaliyetlerinden Vergi Usul Kanunu esaslarına göre herhangi bir kar elde etmemesi nedeniyle temettü dağıtılmamasına karar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lang w:eastAsia="tr-TR"/>
              </w:rPr>
              <w:t> 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 xml:space="preserve">6- Yönetim Kurulu Üyeliklerine; Sn. Ufuk Bala Yücel, Sn. Mustafa </w:t>
            </w:r>
            <w:proofErr w:type="spellStart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Göktaş</w:t>
            </w:r>
            <w:proofErr w:type="spellEnd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, Sn. Özlem Bağdatlı, Sn. Nurlan Erol ve Sn. Fuat Sönmez; Bağımsız Yönetim Kurulu Üyeliklerine, Sn. İbrahim Ümit Seğmen ve Sn. Ali Rıza </w:t>
            </w:r>
            <w:proofErr w:type="spellStart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Keskinalemdar</w:t>
            </w:r>
            <w:proofErr w:type="spellEnd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 bundan sonra yapılacak ilk olağan genel kurul toplantısına kadar görev yapmak üzere seçilmişlerdir. Yönetim Kurulu Üyelerinin şirket dışında aldığı görevlere ilişkin bilgi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7- Yönetim Kurulu Üyelerinin her birine aylık brüt 3.150 TL ücret ödenmesine karar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8- 2014 yılı için bağımsız denetim faaliyetini yürütmek üzere Akis Bağımsız Denetim ve Serbest Muhasebeci Mali Müşavirlik A.Ş. Bağımsız Denetim Kuruluşu olarak seçilmiştir.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9- Şirketimizce 2013 yılında yapılan bağış bilgiye sunulmuş ve 2014 yılında yapılacak bağışların üst sınırı 25.000 TL olarak belirlenmiştir.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10- Şirket'in yenilenen Kar Dağıtım Politikası onaylanmıştır.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11- Şirket'in yenilenen Bilgilendirme Politikası bilgiye sunulmuştur.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12- Yönetim Kurulu Üyelerine, Türk Ticaret Kanununun 395. ve 396. maddelerinde yer alan işlemler hakkında izin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13- Sermaye Piyasası Kurulu Kurumsal Yönetim İlkeleri'nin 1.3.6. maddesinde yer alan işlemler hakkında Genel Kurul'a bilgi verilmiştir.</w:t>
            </w: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br/>
              <w:t>14- Dilek ve temenniler hakkında söz alan olmamıştır.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Alınan Kararlar Arasında Ticari </w:t>
            </w:r>
            <w:proofErr w:type="spellStart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Ünvana</w:t>
            </w:r>
            <w:proofErr w:type="spellEnd"/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 xml:space="preserve"> İlişkin Ana Sözleşme Tadili Hususu Var mı?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Hayır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Alınan Kararlar Arasında Faaliyet Konusuna İlişkin Ana Sözleşme Tadili Hususu Var mı?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Hayır</w:t>
            </w:r>
          </w:p>
        </w:tc>
      </w:tr>
      <w:tr w:rsidR="005619F0" w:rsidRPr="005619F0" w:rsidTr="005619F0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Alınan Kararlar Arasında Şirket Merkezine İlişkin Ana Sözleşme Tadili Hususu Var mı?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619F0" w:rsidRPr="005619F0" w:rsidRDefault="005619F0" w:rsidP="005619F0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</w:pPr>
            <w:r w:rsidRPr="005619F0">
              <w:rPr>
                <w:rFonts w:ascii="Verdana" w:eastAsia="Times New Roman" w:hAnsi="Verdana" w:cs="Times New Roman"/>
                <w:color w:val="0D3734"/>
                <w:sz w:val="17"/>
                <w:szCs w:val="17"/>
                <w:lang w:eastAsia="tr-TR"/>
              </w:rPr>
              <w:t>Hayır</w:t>
            </w:r>
          </w:p>
        </w:tc>
      </w:tr>
    </w:tbl>
    <w:p w:rsidR="005619F0" w:rsidRPr="005619F0" w:rsidRDefault="005619F0" w:rsidP="005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9F0">
        <w:rPr>
          <w:rFonts w:ascii="Verdana" w:eastAsia="Times New Roman" w:hAnsi="Verdana" w:cs="Times New Roman"/>
          <w:color w:val="0D3734"/>
          <w:sz w:val="17"/>
          <w:szCs w:val="17"/>
          <w:shd w:val="clear" w:color="auto" w:fill="FFFFFF"/>
          <w:lang w:eastAsia="tr-TR"/>
        </w:rPr>
        <w:br/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19F0"/>
    <w:rsid w:val="00330F71"/>
    <w:rsid w:val="00513708"/>
    <w:rsid w:val="005619F0"/>
    <w:rsid w:val="005A25C4"/>
    <w:rsid w:val="007430C4"/>
    <w:rsid w:val="00757E63"/>
    <w:rsid w:val="007B020B"/>
    <w:rsid w:val="009105AB"/>
    <w:rsid w:val="00A661B2"/>
    <w:rsid w:val="00AC4867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19F0"/>
  </w:style>
  <w:style w:type="character" w:customStyle="1" w:styleId="basliktablometin">
    <w:name w:val="basliktablometin"/>
    <w:basedOn w:val="VarsaylanParagrafYazTipi"/>
    <w:rsid w:val="005619F0"/>
  </w:style>
  <w:style w:type="paragraph" w:styleId="BalonMetni">
    <w:name w:val="Balloon Text"/>
    <w:basedOn w:val="Normal"/>
    <w:link w:val="BalonMetniChar"/>
    <w:uiPriority w:val="99"/>
    <w:semiHidden/>
    <w:unhideWhenUsed/>
    <w:rsid w:val="005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2014-03-26T14:33:00Z</dcterms:created>
  <dcterms:modified xsi:type="dcterms:W3CDTF">2014-03-26T14:34:00Z</dcterms:modified>
</cp:coreProperties>
</file>